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4 :Pilot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 ,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81"/>
        <w:gridCol w:w="1217"/>
        <w:gridCol w:w="1219"/>
        <w:gridCol w:w="1160"/>
        <w:gridCol w:w="4966"/>
        <w:gridCol w:w="2731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5532FC54" w:rsidR="006464BF" w:rsidRPr="00AC673D" w:rsidRDefault="00AE37D6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30/4/2017</w:t>
            </w:r>
          </w:p>
        </w:tc>
        <w:tc>
          <w:tcPr>
            <w:tcW w:w="1109" w:type="dxa"/>
          </w:tcPr>
          <w:p w14:paraId="2BBE059A" w14:textId="61D646C4" w:rsidR="006464BF" w:rsidRPr="00AC673D" w:rsidRDefault="00AE37D6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="001254B8">
              <w:rPr>
                <w:sz w:val="22"/>
                <w:szCs w:val="22"/>
              </w:rPr>
              <w:t>10/201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045A6CBB" w14:textId="77777777" w:rsidR="00AE37D6" w:rsidRDefault="00AE37D6" w:rsidP="00AE37D6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courses that will be prepared for WPs 2 and 3 will be used to training </w:t>
            </w:r>
            <w:r w:rsidRPr="00AE37D6">
              <w:rPr>
                <w:sz w:val="22"/>
                <w:szCs w:val="22"/>
              </w:rPr>
              <w:t>provide</w:t>
            </w:r>
            <w:r>
              <w:rPr>
                <w:sz w:val="22"/>
                <w:szCs w:val="22"/>
              </w:rPr>
              <w:t xml:space="preserve"> the needed</w:t>
            </w:r>
            <w:r w:rsidRPr="00AE37D6">
              <w:rPr>
                <w:sz w:val="22"/>
                <w:szCs w:val="22"/>
              </w:rPr>
              <w:t xml:space="preserve"> training to the staff of the FoodQA centres; in order to let them acquire the competences and experience in the implementation of </w:t>
            </w:r>
          </w:p>
          <w:p w14:paraId="355B496E" w14:textId="034D2909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food safety and quality management systems (ISO 9001:2008, </w:t>
            </w:r>
          </w:p>
          <w:p w14:paraId="21936033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2-Food safety management system (ISO 22000:2005), </w:t>
            </w:r>
          </w:p>
          <w:p w14:paraId="73F32B7B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3-BRC Global standard (Issue 5),</w:t>
            </w:r>
          </w:p>
          <w:p w14:paraId="1C0CB8E9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 IFS (Issue 5), and </w:t>
            </w:r>
          </w:p>
          <w:p w14:paraId="345A4C34" w14:textId="77777777" w:rsidR="006464BF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Global GAP</w:t>
            </w:r>
          </w:p>
          <w:p w14:paraId="692369B0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Cs w:val="22"/>
                <w:lang w:eastAsia="fr-BE"/>
              </w:rPr>
            </w:pPr>
            <w:r>
              <w:rPr>
                <w:sz w:val="22"/>
                <w:szCs w:val="22"/>
              </w:rPr>
              <w:t xml:space="preserve">Criteria to select </w:t>
            </w:r>
            <w:r w:rsidRPr="008B0227">
              <w:rPr>
                <w:szCs w:val="22"/>
                <w:lang w:eastAsia="fr-BE"/>
              </w:rPr>
              <w:t>8 companies</w:t>
            </w:r>
            <w:r>
              <w:rPr>
                <w:szCs w:val="22"/>
                <w:lang w:eastAsia="fr-BE"/>
              </w:rPr>
              <w:t xml:space="preserve"> for the pilot study will be proposed.</w:t>
            </w:r>
          </w:p>
          <w:p w14:paraId="7B38AC6B" w14:textId="766C2B1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5D6691B4" w14:textId="77777777" w:rsidR="00DF698C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 w:rsidR="00DF698C">
              <w:rPr>
                <w:sz w:val="22"/>
                <w:szCs w:val="22"/>
              </w:rPr>
              <w:t>prepared (n.5),</w:t>
            </w:r>
          </w:p>
          <w:p w14:paraId="164575FD" w14:textId="77777777" w:rsidR="00DF698C" w:rsidRDefault="00DF698C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trained (n.40)</w:t>
            </w:r>
          </w:p>
          <w:p w14:paraId="2AB2A696" w14:textId="0B81E72A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4914D29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3F2231B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5C2372A6" w14:textId="21867AD0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56F2256B" w14:textId="49AA337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61EA4710" w14:textId="617E69B5" w:rsidR="006464BF" w:rsidRPr="00AC673D" w:rsidRDefault="006464BF" w:rsidP="003B0199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73B52BC4" w14:textId="598F949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5AF406FE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5670627C" w14:textId="2E9666D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07F0B49" w14:textId="19AA1FE5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14E0BA00" w14:textId="576D5D88" w:rsidR="006464BF" w:rsidRPr="00AC673D" w:rsidRDefault="006464BF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0C4C5A9C" w14:textId="63EEB39C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683CC685" w14:textId="566B0D6B" w:rsidR="006464BF" w:rsidRPr="00AC673D" w:rsidRDefault="006464BF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7E98D0D4" w14:textId="3EE0F02F" w:rsidR="006464BF" w:rsidRPr="00AC673D" w:rsidRDefault="006464BF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DF698C" w:rsidRPr="00734D72" w14:paraId="69FC6E3D" w14:textId="77777777" w:rsidTr="00992233">
        <w:tc>
          <w:tcPr>
            <w:tcW w:w="962" w:type="dxa"/>
          </w:tcPr>
          <w:p w14:paraId="5488CE05" w14:textId="4D5F825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64" w:type="dxa"/>
          </w:tcPr>
          <w:p w14:paraId="1F5484F0" w14:textId="038ED36A" w:rsidR="00DF698C" w:rsidRPr="00DA275B" w:rsidRDefault="00DF698C" w:rsidP="00DF698C">
            <w:r w:rsidRPr="00B73E19">
              <w:t xml:space="preserve">Preparation of </w:t>
            </w:r>
            <w:r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087CACFA" w14:textId="59AC431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30/4/2017</w:t>
            </w:r>
          </w:p>
        </w:tc>
        <w:tc>
          <w:tcPr>
            <w:tcW w:w="1219" w:type="dxa"/>
          </w:tcPr>
          <w:p w14:paraId="7A2FA377" w14:textId="4454A7AF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171" w:type="dxa"/>
          </w:tcPr>
          <w:p w14:paraId="109EFBA7" w14:textId="701411C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2DFE2253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courses that will be prepared for WPs 2 and 3 will be used to training </w:t>
            </w:r>
            <w:r w:rsidRPr="00AE37D6">
              <w:rPr>
                <w:sz w:val="22"/>
                <w:szCs w:val="22"/>
              </w:rPr>
              <w:t>provide</w:t>
            </w:r>
            <w:r>
              <w:rPr>
                <w:sz w:val="22"/>
                <w:szCs w:val="22"/>
              </w:rPr>
              <w:t xml:space="preserve"> the needed</w:t>
            </w:r>
            <w:r w:rsidRPr="00AE37D6">
              <w:rPr>
                <w:sz w:val="22"/>
                <w:szCs w:val="22"/>
              </w:rPr>
              <w:t xml:space="preserve"> training to the staff of the FoodQA centres; in order to let them acquire the competences and experience in the implementation of </w:t>
            </w:r>
          </w:p>
          <w:p w14:paraId="0977A02C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food safety and quality management systems (ISO 9001:2008, </w:t>
            </w:r>
          </w:p>
          <w:p w14:paraId="4D487F8A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2-Food safety management system (ISO 22000:2005), </w:t>
            </w:r>
          </w:p>
          <w:p w14:paraId="7151BCE1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3-BRC Global standard (Issue 5),</w:t>
            </w:r>
          </w:p>
          <w:p w14:paraId="67C7E538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 IFS (Issue 5), and </w:t>
            </w:r>
          </w:p>
          <w:p w14:paraId="7AB17B51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Global GAP</w:t>
            </w:r>
          </w:p>
          <w:p w14:paraId="05D4DACD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Cs w:val="22"/>
                <w:lang w:eastAsia="fr-BE"/>
              </w:rPr>
            </w:pPr>
            <w:r>
              <w:rPr>
                <w:sz w:val="22"/>
                <w:szCs w:val="22"/>
              </w:rPr>
              <w:t xml:space="preserve">Criteria to select </w:t>
            </w:r>
            <w:r w:rsidRPr="008B0227">
              <w:rPr>
                <w:szCs w:val="22"/>
                <w:lang w:eastAsia="fr-BE"/>
              </w:rPr>
              <w:t>8 companies</w:t>
            </w:r>
            <w:r>
              <w:rPr>
                <w:szCs w:val="22"/>
                <w:lang w:eastAsia="fr-BE"/>
              </w:rPr>
              <w:t xml:space="preserve"> for the pilot study will be proposed.</w:t>
            </w:r>
          </w:p>
          <w:p w14:paraId="3E28ED0A" w14:textId="4CFA00D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888E05E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course prepared (n.5),</w:t>
            </w:r>
          </w:p>
          <w:p w14:paraId="461446D9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trained (n.40)</w:t>
            </w:r>
          </w:p>
          <w:p w14:paraId="431A7B63" w14:textId="12EEBE5D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F698C" w:rsidRPr="00734D72" w14:paraId="081F1E56" w14:textId="77777777" w:rsidTr="00992233">
        <w:tc>
          <w:tcPr>
            <w:tcW w:w="962" w:type="dxa"/>
          </w:tcPr>
          <w:p w14:paraId="141DFBDF" w14:textId="28C5F87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64" w:type="dxa"/>
          </w:tcPr>
          <w:p w14:paraId="0AFECCD2" w14:textId="77777777" w:rsidR="00DF698C" w:rsidRDefault="00DF698C" w:rsidP="00DF69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D544817" w14:textId="77777777" w:rsidR="00DF698C" w:rsidRPr="00DA275B" w:rsidRDefault="00DF698C" w:rsidP="00DF698C"/>
        </w:tc>
        <w:tc>
          <w:tcPr>
            <w:tcW w:w="1219" w:type="dxa"/>
          </w:tcPr>
          <w:p w14:paraId="055E8F66" w14:textId="6C0439F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219" w:type="dxa"/>
          </w:tcPr>
          <w:p w14:paraId="17AFE4E5" w14:textId="793113A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71" w:type="dxa"/>
          </w:tcPr>
          <w:p w14:paraId="51ECD871" w14:textId="6ACC7E0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420BDCF0" w14:textId="77777777" w:rsidR="00DF698C" w:rsidRDefault="00DF698C" w:rsidP="00DF698C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 a Gap analysis of each food facility 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 </w:t>
            </w:r>
          </w:p>
          <w:p w14:paraId="06384A2F" w14:textId="5C27A98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 staff and worker on the requirement of the selected food safety management system .</w:t>
            </w:r>
            <w:r w:rsidRPr="0016142E">
              <w:rPr>
                <w:sz w:val="22"/>
                <w:szCs w:val="22"/>
              </w:rPr>
              <w:t>Identify the team</w:t>
            </w:r>
            <w:r>
              <w:rPr>
                <w:sz w:val="22"/>
                <w:szCs w:val="22"/>
              </w:rPr>
              <w:t xml:space="preserve"> of the food facility to work with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 </w:t>
            </w:r>
            <w:r w:rsidRPr="0016142E">
              <w:rPr>
                <w:sz w:val="22"/>
                <w:szCs w:val="22"/>
              </w:rPr>
              <w:t xml:space="preserve"> requirements</w:t>
            </w:r>
          </w:p>
        </w:tc>
        <w:tc>
          <w:tcPr>
            <w:tcW w:w="2739" w:type="dxa"/>
          </w:tcPr>
          <w:p w14:paraId="3882AC77" w14:textId="30D64FF3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that applied food safety management system </w:t>
            </w:r>
          </w:p>
        </w:tc>
      </w:tr>
      <w:tr w:rsidR="00DF698C" w:rsidRPr="00734D72" w14:paraId="61D4AC34" w14:textId="77777777" w:rsidTr="00992233">
        <w:tc>
          <w:tcPr>
            <w:tcW w:w="962" w:type="dxa"/>
          </w:tcPr>
          <w:p w14:paraId="2CDB7933" w14:textId="7604CA6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64" w:type="dxa"/>
          </w:tcPr>
          <w:p w14:paraId="7AC55697" w14:textId="75E4F017" w:rsidR="00DF698C" w:rsidRPr="00DA275B" w:rsidRDefault="00DF698C" w:rsidP="00DF698C"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7F97E07A" w14:textId="6ADB965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219" w:type="dxa"/>
          </w:tcPr>
          <w:p w14:paraId="008BB1D1" w14:textId="05238EB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71" w:type="dxa"/>
          </w:tcPr>
          <w:p w14:paraId="0A315E65" w14:textId="4026560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22FEF667" w14:textId="19BFEF3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audit team and audit leader from European partners  to  conduct  the audit in each food facilities , consequently identifying the nonconformities against the applied food safety management system </w:t>
            </w:r>
          </w:p>
        </w:tc>
        <w:tc>
          <w:tcPr>
            <w:tcW w:w="2739" w:type="dxa"/>
          </w:tcPr>
          <w:p w14:paraId="2A3F84C1" w14:textId="1B7BC36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  <w:tr w:rsidR="00DF698C" w:rsidRPr="00734D72" w14:paraId="6A813F0D" w14:textId="77777777" w:rsidTr="00992233">
        <w:tc>
          <w:tcPr>
            <w:tcW w:w="962" w:type="dxa"/>
          </w:tcPr>
          <w:p w14:paraId="36DF1F0B" w14:textId="0B42C492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4.4 </w:t>
            </w:r>
          </w:p>
        </w:tc>
        <w:tc>
          <w:tcPr>
            <w:tcW w:w="2264" w:type="dxa"/>
          </w:tcPr>
          <w:p w14:paraId="28B6CA8E" w14:textId="5CD4EDE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07857019" w14:textId="6FB8484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219" w:type="dxa"/>
          </w:tcPr>
          <w:p w14:paraId="0BB8D76F" w14:textId="77777777" w:rsidR="00DF698C" w:rsidRDefault="00DF698C" w:rsidP="00DF69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252A1FA3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4D2D6D8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4964" w:type="dxa"/>
          </w:tcPr>
          <w:p w14:paraId="6664206A" w14:textId="62CEBFD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F0B5D">
              <w:rPr>
                <w:sz w:val="22"/>
                <w:szCs w:val="22"/>
              </w:rPr>
              <w:t xml:space="preserve">identified the </w:t>
            </w:r>
            <w:r>
              <w:rPr>
                <w:sz w:val="22"/>
                <w:szCs w:val="22"/>
              </w:rPr>
              <w:t xml:space="preserve"> corrective action </w:t>
            </w:r>
            <w:r w:rsidRPr="00CF0B5D">
              <w:rPr>
                <w:sz w:val="22"/>
                <w:szCs w:val="22"/>
              </w:rPr>
              <w:t>need</w:t>
            </w:r>
            <w:r>
              <w:rPr>
                <w:sz w:val="22"/>
                <w:szCs w:val="22"/>
              </w:rPr>
              <w:t xml:space="preserve">ed </w:t>
            </w:r>
            <w:r w:rsidRPr="00CF0B5D">
              <w:rPr>
                <w:sz w:val="22"/>
                <w:szCs w:val="22"/>
              </w:rPr>
              <w:t xml:space="preserve"> to</w:t>
            </w:r>
            <w:r>
              <w:rPr>
                <w:sz w:val="22"/>
                <w:szCs w:val="22"/>
              </w:rPr>
              <w:t xml:space="preserve"> be </w:t>
            </w:r>
            <w:r w:rsidRPr="00CF0B5D">
              <w:rPr>
                <w:sz w:val="22"/>
                <w:szCs w:val="22"/>
              </w:rPr>
              <w:t xml:space="preserve"> introduce </w:t>
            </w:r>
            <w:r>
              <w:rPr>
                <w:sz w:val="22"/>
                <w:szCs w:val="22"/>
              </w:rPr>
              <w:t xml:space="preserve"> for the </w:t>
            </w:r>
            <w:r w:rsidRPr="00CF0B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food facilities </w:t>
            </w:r>
            <w:r w:rsidRPr="00CF0B5D">
              <w:rPr>
                <w:sz w:val="22"/>
                <w:szCs w:val="22"/>
              </w:rPr>
              <w:t xml:space="preserve"> involve</w:t>
            </w:r>
            <w:r>
              <w:rPr>
                <w:sz w:val="22"/>
                <w:szCs w:val="22"/>
              </w:rPr>
              <w:t>, and I</w:t>
            </w:r>
            <w:r w:rsidRPr="002E5A5C">
              <w:rPr>
                <w:sz w:val="22"/>
                <w:szCs w:val="22"/>
              </w:rPr>
              <w:t>dentified the need of specific complementary training</w:t>
            </w:r>
            <w:r>
              <w:rPr>
                <w:sz w:val="22"/>
                <w:szCs w:val="22"/>
              </w:rPr>
              <w:t xml:space="preserve"> to the staff of Jordanian partners  </w:t>
            </w:r>
          </w:p>
        </w:tc>
        <w:tc>
          <w:tcPr>
            <w:tcW w:w="2739" w:type="dxa"/>
          </w:tcPr>
          <w:p w14:paraId="2A3C687D" w14:textId="2C6DCC49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2E5A5C">
              <w:rPr>
                <w:sz w:val="22"/>
                <w:szCs w:val="22"/>
              </w:rPr>
              <w:t>complementary training</w:t>
            </w:r>
            <w:r>
              <w:rPr>
                <w:sz w:val="22"/>
                <w:szCs w:val="22"/>
              </w:rPr>
              <w:t xml:space="preserve"> courses that should be  held to the staff of Jordanian partners.  </w:t>
            </w:r>
          </w:p>
        </w:tc>
      </w:tr>
      <w:tr w:rsidR="00DF698C" w:rsidRPr="00734D72" w14:paraId="602C78B9" w14:textId="77777777" w:rsidTr="00992233">
        <w:tc>
          <w:tcPr>
            <w:tcW w:w="962" w:type="dxa"/>
          </w:tcPr>
          <w:p w14:paraId="7B5CC609" w14:textId="653E91D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117233E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FBAD" w14:textId="77777777" w:rsidR="001815BB" w:rsidRDefault="001815BB">
      <w:r>
        <w:separator/>
      </w:r>
    </w:p>
  </w:endnote>
  <w:endnote w:type="continuationSeparator" w:id="0">
    <w:p w14:paraId="2FA81799" w14:textId="77777777" w:rsidR="001815BB" w:rsidRDefault="001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0E56" w14:textId="77777777" w:rsidR="001815BB" w:rsidRDefault="001815BB">
      <w:r>
        <w:separator/>
      </w:r>
    </w:p>
  </w:footnote>
  <w:footnote w:type="continuationSeparator" w:id="0">
    <w:p w14:paraId="60DEF763" w14:textId="77777777" w:rsidR="001815BB" w:rsidRDefault="001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2FC9F145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762600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17694EF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762600">
      <w:rPr>
        <w:b/>
        <w:noProof/>
        <w:sz w:val="16"/>
        <w:szCs w:val="16"/>
        <w:lang w:val="fr-BE"/>
      </w:rPr>
      <w:t>4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C21"/>
    <w:multiLevelType w:val="hybridMultilevel"/>
    <w:tmpl w:val="F11EC20A"/>
    <w:lvl w:ilvl="0" w:tplc="D6CA8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9"/>
  </w:num>
  <w:num w:numId="11">
    <w:abstractNumId w:val="39"/>
  </w:num>
  <w:num w:numId="12">
    <w:abstractNumId w:val="16"/>
  </w:num>
  <w:num w:numId="13">
    <w:abstractNumId w:val="31"/>
  </w:num>
  <w:num w:numId="14">
    <w:abstractNumId w:val="12"/>
  </w:num>
  <w:num w:numId="15">
    <w:abstractNumId w:val="8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8"/>
  </w:num>
  <w:num w:numId="21">
    <w:abstractNumId w:val="32"/>
  </w:num>
  <w:num w:numId="22">
    <w:abstractNumId w:val="23"/>
  </w:num>
  <w:num w:numId="23">
    <w:abstractNumId w:val="34"/>
  </w:num>
  <w:num w:numId="24">
    <w:abstractNumId w:val="27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30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142E"/>
    <w:rsid w:val="00162910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565E3"/>
    <w:rsid w:val="00762600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37D6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DF698C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0F3074-EEB4-4DC2-A271-5FBED965A43E}"/>
</file>

<file path=customXml/itemProps2.xml><?xml version="1.0" encoding="utf-8"?>
<ds:datastoreItem xmlns:ds="http://schemas.openxmlformats.org/officeDocument/2006/customXml" ds:itemID="{B1084201-906A-4493-B720-325C46D5768B}"/>
</file>

<file path=customXml/itemProps3.xml><?xml version="1.0" encoding="utf-8"?>
<ds:datastoreItem xmlns:ds="http://schemas.openxmlformats.org/officeDocument/2006/customXml" ds:itemID="{02BC1B02-9274-4C94-9E40-F90AB575D329}"/>
</file>

<file path=customXml/itemProps4.xml><?xml version="1.0" encoding="utf-8"?>
<ds:datastoreItem xmlns:ds="http://schemas.openxmlformats.org/officeDocument/2006/customXml" ds:itemID="{256065F7-4829-4440-BF5A-3D20464F98FA}"/>
</file>

<file path=customXml/itemProps5.xml><?xml version="1.0" encoding="utf-8"?>
<ds:datastoreItem xmlns:ds="http://schemas.openxmlformats.org/officeDocument/2006/customXml" ds:itemID="{9B0977DE-E326-48EB-A8B4-4783D43D0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3</cp:revision>
  <cp:lastPrinted>2016-08-22T12:01:00Z</cp:lastPrinted>
  <dcterms:created xsi:type="dcterms:W3CDTF">2018-08-16T12:15:00Z</dcterms:created>
  <dcterms:modified xsi:type="dcterms:W3CDTF">2018-08-16T12:26:00Z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